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sz w:val="32"/>
          <w:szCs w:val="32"/>
        </w:rPr>
        <w:t xml:space="preserve">Module 5: Academic Success</w:t>
      </w:r>
    </w:p>
    <w:p>
      <w:pPr>
        <w:pBdr>
          <w:bottom w:val="single" w:color="333333" w:sz="5" w:space="4"/>
        </w:pBdr>
        <w:spacing w:after="160"/>
        <w:jc w:val="center"/>
      </w:pPr>
      <w:r>
        <w:rPr>
          <w:sz w:val="24"/>
          <w:szCs w:val="24"/>
        </w:rPr>
        <w:t xml:space="preserve">Assignment</w:t>
      </w:r>
    </w:p>
    <w:p>
      <w:pPr>
        <w:pBdr>
          <w:bottom w:val="single" w:color="333333" w:sz="5" w:space="2"/>
        </w:pBdr>
        <w:spacing w:after="130" w:before="280"/>
      </w:pPr>
      <w:r>
        <w:rPr>
          <w:b/>
          <w:bCs/>
          <w:sz w:val="28"/>
          <w:szCs w:val="28"/>
        </w:rPr>
        <w:t xml:space="preserve">Study Plan</w:t>
      </w:r>
    </w:p>
    <w:p>
      <w:pPr>
        <w:spacing w:after="120" w:line="276"/>
      </w:pPr>
      <w:r>
        <w:rPr>
          <w:b/>
          <w:bCs/>
        </w:rPr>
        <w:t xml:space="preserve">Study Plan  |  75 points  |  </w:t>
      </w:r>
      <w:r>
        <w:t xml:space="preserve">Due after Module 5.</w:t>
      </w:r>
    </w:p>
    <w:p>
      <w:pPr>
        <w:spacing w:after="140" w:line="276"/>
      </w:pPr>
      <w:r>
        <w:t xml:space="preserve">Build a weekly study schedule for a realistic college course load. Use your actual fall schedule if you have it, or a sample of four to five courses. Your plan must include specific study blocks for each subject, not just class times, and must use spaced practice, meaning sessions spread across the week rather than all at once. Then write a short explanation: how does your plan use retrieval practice and spaced practice, and which subject do you expect to be hardest and how does your plan account for it?</w:t>
      </w:r>
    </w:p>
    <w:p>
      <w:pPr>
        <w:spacing w:after="100" w:before="220"/>
      </w:pPr>
      <w:r>
        <w:rPr>
          <w:b/>
          <w:bCs/>
          <w:sz w:val="24"/>
          <w:szCs w:val="24"/>
        </w:rPr>
        <w:t xml:space="preserve">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Exemplary</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Proficient</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Emerging</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Incomplete</w:t>
            </w:r>
          </w:p>
        </w:tc>
      </w:tr>
      <w:tr>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68-75 pts: Schedule includes study blocks for every subject spread across the week. The explanation clearly shows how both retrieval practice and spaced practice are used. The hardest subject is named and the plan visibly addresses it.</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56-67 pts: Schedule covers most subjects with some spacing, and the explanation references both techniques, though one may be thin. Hardest subject is named.</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38-55 pts: Schedule is mostly class times with little study time built in, or the explanation names the techniques without showing them in the plan.</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0-37 pts: Missing, or the plan shows no use of the module's techniques.</w:t>
            </w:r>
          </w:p>
        </w:tc>
      </w:tr>
    </w:tbl>
    <w:p>
      <w:pPr>
        <w:pBdr>
          <w:top w:val="single" w:color="888888" w:sz="4" w:space="4"/>
        </w:pBdr>
        <w:spacing w:before="200"/>
        <w:jc w:val="center"/>
      </w:pPr>
      <w:r>
        <w:rPr>
          <w:i w:val="false"/>
          <w:iCs w:val="false"/>
          <w:sz w:val="18"/>
          <w:szCs w:val="18"/>
        </w:rPr>
        <w:t xml:space="preserve">Alum's Declassified: College Survival Guide  |  EDUC 992  |  UNC Chapel Hill  |  Summer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5: Academic Success - Assignment</dc:title>
  <dc:creator>Khat</dc:creator>
  <cp:lastModifiedBy>Un-named</cp:lastModifiedBy>
  <cp:revision>1</cp:revision>
  <dcterms:created xsi:type="dcterms:W3CDTF">2026-06-07T16:00:54.128Z</dcterms:created>
  <dcterms:modified xsi:type="dcterms:W3CDTF">2026-06-07T16:00:54.128Z</dcterms:modified>
</cp:coreProperties>
</file>

<file path=docProps/custom.xml><?xml version="1.0" encoding="utf-8"?>
<Properties xmlns="http://schemas.openxmlformats.org/officeDocument/2006/custom-properties" xmlns:vt="http://schemas.openxmlformats.org/officeDocument/2006/docPropsVTypes"/>
</file>